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5ECD" w14:textId="77777777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FA732B">
        <w:rPr>
          <w:rFonts w:cstheme="minorHAnsi"/>
          <w:b/>
          <w:bCs/>
          <w:color w:val="0070C0"/>
          <w:u w:val="single"/>
        </w:rPr>
        <w:t>[</w:t>
      </w:r>
      <w:r w:rsidR="004E1F76" w:rsidRPr="00FA732B">
        <w:rPr>
          <w:rFonts w:cstheme="minorHAnsi"/>
          <w:b/>
          <w:bCs/>
          <w:color w:val="0070C0"/>
          <w:u w:val="single"/>
        </w:rPr>
        <w:t>ORGANISATION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7554B2B6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(Type </w:t>
      </w:r>
      <w:r w:rsidR="00BB5EFC">
        <w:rPr>
          <w:rFonts w:cstheme="minorHAnsi"/>
          <w:b/>
          <w:bCs/>
          <w:u w:val="single"/>
        </w:rPr>
        <w:t>C</w:t>
      </w:r>
      <w:r w:rsidR="0078373C" w:rsidRPr="00B13158">
        <w:rPr>
          <w:rFonts w:cstheme="minorHAnsi"/>
          <w:b/>
          <w:bCs/>
          <w:u w:val="single"/>
        </w:rPr>
        <w:t xml:space="preserve"> Organisation)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4F7F22DE" w14:textId="77777777" w:rsidR="00B26367" w:rsidRPr="00B13158" w:rsidRDefault="00DE3619" w:rsidP="005C36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>has agreed the organisation’s vision, purpose, mission, values and objectives.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49502524" w14:textId="77777777" w:rsidR="00894CB6" w:rsidRPr="00B13158" w:rsidRDefault="00894CB6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B13158">
        <w:rPr>
          <w:rFonts w:cstheme="minorHAnsi"/>
          <w:bCs/>
        </w:rPr>
        <w:t xml:space="preserve"> confirms that it has identified, and complies with, all its relevant legal and regulatory requirements.</w:t>
      </w:r>
      <w:r w:rsidRPr="00B13158">
        <w:rPr>
          <w:rFonts w:cstheme="minorHAnsi"/>
          <w:bCs/>
          <w:strike/>
        </w:rPr>
        <w:t xml:space="preserve"> </w:t>
      </w:r>
    </w:p>
    <w:p w14:paraId="22AD9F23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79BEB902" w14:textId="77777777" w:rsidR="006D1406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the requirements of sub-principle 2.2 of the Governance Code for Sport in relation to</w:t>
      </w:r>
      <w:r w:rsidR="00D7543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appropriate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internal financial and management controls are b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ing complied with.</w:t>
      </w:r>
    </w:p>
    <w:p w14:paraId="24CC83E1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4EC15D8" w14:textId="60B8D5A1" w:rsidR="006D1406" w:rsidRPr="00B13158" w:rsidRDefault="00A9221D" w:rsidP="00A9221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158">
        <w:rPr>
          <w:rFonts w:cstheme="minorHAnsi"/>
        </w:rPr>
        <w:t>T</w:t>
      </w:r>
      <w:r w:rsidR="006D1406" w:rsidRPr="00B13158">
        <w:rPr>
          <w:rFonts w:cstheme="minorHAnsi"/>
        </w:rPr>
        <w:t xml:space="preserve">he key control procedures which have been put in place by the Board, to provide effective internal </w:t>
      </w:r>
      <w:r w:rsidR="00DE3619" w:rsidRPr="00B13158">
        <w:rPr>
          <w:rFonts w:cstheme="minorHAnsi"/>
        </w:rPr>
        <w:t xml:space="preserve">financial </w:t>
      </w:r>
      <w:r w:rsidR="006D1406" w:rsidRPr="00B13158">
        <w:rPr>
          <w:rFonts w:cstheme="minorHAnsi"/>
        </w:rPr>
        <w:t>control are as follows:</w:t>
      </w:r>
    </w:p>
    <w:p w14:paraId="000EE7C6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B30AA3A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AF6D9F">
        <w:rPr>
          <w:rFonts w:asciiTheme="minorHAnsi" w:hAnsiTheme="minorHAnsi" w:cstheme="minorHAnsi"/>
          <w:sz w:val="22"/>
          <w:szCs w:val="22"/>
        </w:rPr>
        <w:t>he Board has overseen income, expenditure, cash-flow and investments during the reporting period.</w:t>
      </w:r>
    </w:p>
    <w:p w14:paraId="64FF2831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B5D7B0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AF6D9F">
        <w:rPr>
          <w:rFonts w:asciiTheme="minorHAnsi" w:hAnsiTheme="minorHAnsi" w:cstheme="minorHAnsi"/>
          <w:sz w:val="22"/>
          <w:szCs w:val="22"/>
        </w:rPr>
        <w:t>ppropriate financial management procedures, systems and controls are in place and have been agreed by the Board.</w:t>
      </w:r>
    </w:p>
    <w:p w14:paraId="7A204663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33940CC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AF6D9F">
        <w:rPr>
          <w:rFonts w:asciiTheme="minorHAnsi" w:hAnsiTheme="minorHAnsi" w:cstheme="minorHAnsi"/>
          <w:sz w:val="22"/>
          <w:szCs w:val="22"/>
        </w:rPr>
        <w:t>he Board</w:t>
      </w:r>
      <w:r>
        <w:rPr>
          <w:rFonts w:asciiTheme="minorHAnsi" w:hAnsiTheme="minorHAnsi" w:cstheme="minorHAnsi"/>
          <w:sz w:val="22"/>
          <w:szCs w:val="22"/>
        </w:rPr>
        <w:t xml:space="preserve"> has</w:t>
      </w:r>
      <w:r w:rsidRPr="00AF6D9F">
        <w:rPr>
          <w:rFonts w:asciiTheme="minorHAnsi" w:hAnsiTheme="minorHAnsi" w:cstheme="minorHAnsi"/>
          <w:sz w:val="22"/>
          <w:szCs w:val="22"/>
        </w:rPr>
        <w:t xml:space="preserve"> agreed the level of financial authority given to CEO, finance sub-committee and senior staff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779D44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5D8F44C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6D9F">
        <w:rPr>
          <w:rFonts w:asciiTheme="minorHAnsi" w:hAnsiTheme="minorHAnsi" w:cstheme="minorHAnsi"/>
          <w:sz w:val="22"/>
          <w:szCs w:val="22"/>
        </w:rPr>
        <w:t>The Board has appointed an audit committee with written terms of reference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20E318" w14:textId="77777777" w:rsidR="00BB5EFC" w:rsidRPr="00AF6D9F" w:rsidRDefault="00BB5EFC" w:rsidP="00BB5E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B5079C" w14:textId="77777777" w:rsidR="00BB5EFC" w:rsidRPr="00AF6D9F" w:rsidRDefault="00BB5EFC" w:rsidP="00BB5EFC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F6D9F">
        <w:rPr>
          <w:rFonts w:asciiTheme="minorHAnsi" w:hAnsiTheme="minorHAnsi" w:cstheme="minorHAnsi"/>
          <w:sz w:val="22"/>
          <w:szCs w:val="22"/>
        </w:rPr>
        <w:t xml:space="preserve">The Audit Committee has fulfilled its role as set out in paragraph 2.2(e) of the </w:t>
      </w:r>
      <w:r>
        <w:rPr>
          <w:rFonts w:asciiTheme="minorHAnsi" w:hAnsiTheme="minorHAnsi" w:cstheme="minorHAnsi"/>
          <w:sz w:val="22"/>
          <w:szCs w:val="22"/>
        </w:rPr>
        <w:t xml:space="preserve">Governance Code for Sport </w:t>
      </w:r>
      <w:r w:rsidRPr="00AF6D9F">
        <w:rPr>
          <w:rFonts w:asciiTheme="minorHAnsi" w:hAnsiTheme="minorHAnsi" w:cstheme="minorHAnsi"/>
          <w:sz w:val="22"/>
          <w:szCs w:val="22"/>
        </w:rPr>
        <w:t>guidance document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AC753AD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17A849" w14:textId="77777777" w:rsidR="007753F3" w:rsidRPr="005C366D" w:rsidRDefault="007753F3" w:rsidP="007753F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C366D">
        <w:rPr>
          <w:rFonts w:asciiTheme="minorHAnsi" w:hAnsiTheme="minorHAnsi" w:cstheme="minorHAnsi"/>
          <w:bCs/>
          <w:color w:val="auto"/>
          <w:sz w:val="22"/>
          <w:szCs w:val="22"/>
        </w:rPr>
        <w:t>The Board has completed a full risk assessment during the year involving regularly updating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E03C0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and discussing </w:t>
      </w:r>
      <w:r w:rsidRPr="005C366D">
        <w:rPr>
          <w:rFonts w:asciiTheme="minorHAnsi" w:hAnsiTheme="minorHAnsi" w:cstheme="minorHAnsi"/>
          <w:bCs/>
          <w:color w:val="auto"/>
          <w:sz w:val="22"/>
          <w:szCs w:val="22"/>
        </w:rPr>
        <w:t>a risk register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allowed for:</w:t>
      </w:r>
    </w:p>
    <w:p w14:paraId="649FDD72" w14:textId="77777777" w:rsidR="007753F3" w:rsidRPr="005C366D" w:rsidRDefault="007753F3" w:rsidP="007753F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C366D">
        <w:rPr>
          <w:rFonts w:asciiTheme="minorHAnsi" w:hAnsiTheme="minorHAnsi" w:cstheme="minorHAnsi"/>
          <w:bCs/>
          <w:color w:val="auto"/>
          <w:sz w:val="22"/>
          <w:szCs w:val="22"/>
        </w:rPr>
        <w:t>identifying and understanding the risks facing the organisation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3FF51F4" w14:textId="77777777" w:rsidR="007753F3" w:rsidRPr="005C366D" w:rsidRDefault="007753F3" w:rsidP="007753F3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5C366D">
        <w:rPr>
          <w:rFonts w:cstheme="minorHAnsi"/>
          <w:bCs/>
        </w:rPr>
        <w:t>assessing and mitigating against the risks to ensure they are within the organisation’s risk appetite as set by the board</w:t>
      </w:r>
      <w:r>
        <w:rPr>
          <w:rFonts w:cstheme="minorHAnsi"/>
          <w:bCs/>
        </w:rPr>
        <w:t>.</w:t>
      </w:r>
    </w:p>
    <w:p w14:paraId="54F7DAED" w14:textId="77777777" w:rsidR="007753F3" w:rsidRPr="005C366D" w:rsidRDefault="007753F3" w:rsidP="007753F3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Cs/>
        </w:rPr>
      </w:pPr>
      <w:r w:rsidRPr="005C366D">
        <w:rPr>
          <w:rFonts w:cstheme="minorHAnsi"/>
          <w:bCs/>
        </w:rPr>
        <w:t>ensuring the process’s accountability and resources are in place to manage the organisation’s exposure to risk</w:t>
      </w:r>
      <w:r>
        <w:rPr>
          <w:rFonts w:cstheme="minorHAnsi"/>
          <w:bCs/>
        </w:rPr>
        <w:t>.</w:t>
      </w:r>
    </w:p>
    <w:p w14:paraId="590F5EDD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038D97DD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>ORGANISATION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53F3" w:rsidRPr="005C366D">
        <w:rPr>
          <w:rFonts w:asciiTheme="minorHAnsi" w:hAnsiTheme="minorHAnsi" w:cstheme="minorHAnsi"/>
          <w:color w:val="auto"/>
          <w:sz w:val="22"/>
          <w:szCs w:val="22"/>
        </w:rPr>
        <w:t>annual report and accounts are widely available and easy to access on the organisation’s website and elsewhere.</w:t>
      </w:r>
      <w:r w:rsidR="007753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753F3" w:rsidRPr="00E03C0E">
        <w:rPr>
          <w:rFonts w:asciiTheme="minorHAnsi" w:hAnsiTheme="minorHAnsi" w:cstheme="minorHAnsi"/>
          <w:color w:val="auto"/>
          <w:sz w:val="22"/>
          <w:szCs w:val="22"/>
        </w:rPr>
        <w:t xml:space="preserve">The annual report identifies the leadership of the organisation and Board and subcommittee attendance throughout the year. 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401332A3" w14:textId="77777777" w:rsidR="007753F3" w:rsidRPr="00AF6D9F" w:rsidRDefault="007753F3" w:rsidP="007753F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AF6D9F">
        <w:rPr>
          <w:rFonts w:cstheme="minorHAnsi"/>
          <w:bCs/>
        </w:rPr>
        <w:t>The Board has made sure</w:t>
      </w:r>
      <w:r w:rsidRPr="00AF6D9F">
        <w:rPr>
          <w:rFonts w:cstheme="minorHAnsi"/>
        </w:rPr>
        <w:t xml:space="preserve"> that there is a board induction process which includes an overview of:</w:t>
      </w:r>
    </w:p>
    <w:p w14:paraId="3B8A5F26" w14:textId="2F8C96F0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DE3619">
        <w:rPr>
          <w:rFonts w:cstheme="minorHAnsi"/>
          <w:color w:val="0070C0"/>
        </w:rPr>
        <w:t>[</w:t>
      </w:r>
      <w:r>
        <w:rPr>
          <w:rFonts w:cstheme="minorHAnsi"/>
          <w:color w:val="0070C0"/>
        </w:rPr>
        <w:t>ORGANISATION NAME</w:t>
      </w:r>
      <w:r w:rsidRPr="00DE3619">
        <w:rPr>
          <w:rFonts w:cstheme="minorHAnsi"/>
          <w:color w:val="0070C0"/>
        </w:rPr>
        <w:t>]</w:t>
      </w:r>
      <w:r>
        <w:rPr>
          <w:rFonts w:cstheme="minorHAnsi"/>
          <w:color w:val="0070C0"/>
        </w:rPr>
        <w:t xml:space="preserve">’s </w:t>
      </w:r>
      <w:r w:rsidRPr="00AF6D9F">
        <w:rPr>
          <w:rFonts w:cstheme="minorHAnsi"/>
        </w:rPr>
        <w:t>strategic objectives</w:t>
      </w:r>
      <w:r>
        <w:rPr>
          <w:rFonts w:cstheme="minorHAnsi"/>
        </w:rPr>
        <w:t>,</w:t>
      </w:r>
    </w:p>
    <w:p w14:paraId="4670F6AB" w14:textId="741BB14F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AF6D9F">
        <w:rPr>
          <w:rFonts w:cstheme="minorHAnsi"/>
        </w:rPr>
        <w:t>he role of the board and individual board members</w:t>
      </w:r>
      <w:r>
        <w:rPr>
          <w:rFonts w:cstheme="minorHAnsi"/>
        </w:rPr>
        <w:t>,</w:t>
      </w:r>
    </w:p>
    <w:p w14:paraId="76B3CAFF" w14:textId="0A9ED156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DE3619">
        <w:rPr>
          <w:rFonts w:cstheme="minorHAnsi"/>
          <w:color w:val="0070C0"/>
        </w:rPr>
        <w:t>[</w:t>
      </w:r>
      <w:r>
        <w:rPr>
          <w:rFonts w:cstheme="minorHAnsi"/>
          <w:color w:val="0070C0"/>
        </w:rPr>
        <w:t>ORGANISATION NAME</w:t>
      </w:r>
      <w:r w:rsidRPr="00DE3619">
        <w:rPr>
          <w:rFonts w:cstheme="minorHAnsi"/>
          <w:color w:val="0070C0"/>
        </w:rPr>
        <w:t>]</w:t>
      </w:r>
      <w:r>
        <w:rPr>
          <w:rFonts w:cstheme="minorHAnsi"/>
          <w:color w:val="0070C0"/>
        </w:rPr>
        <w:t xml:space="preserve">’s </w:t>
      </w:r>
      <w:r w:rsidRPr="00AF6D9F">
        <w:rPr>
          <w:rFonts w:cstheme="minorHAnsi"/>
        </w:rPr>
        <w:t>finances and funding model</w:t>
      </w:r>
      <w:r>
        <w:rPr>
          <w:rFonts w:cstheme="minorHAnsi"/>
        </w:rPr>
        <w:t>,</w:t>
      </w:r>
    </w:p>
    <w:p w14:paraId="6A7F8069" w14:textId="308D748A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AF6D9F">
        <w:rPr>
          <w:rFonts w:cstheme="minorHAnsi"/>
        </w:rPr>
        <w:t>he Governance Code</w:t>
      </w:r>
      <w:r>
        <w:rPr>
          <w:rFonts w:cstheme="minorHAnsi"/>
        </w:rPr>
        <w:t xml:space="preserve"> for Sport</w:t>
      </w:r>
      <w:r w:rsidRPr="00AF6D9F">
        <w:rPr>
          <w:rFonts w:cstheme="minorHAnsi"/>
        </w:rPr>
        <w:t xml:space="preserve"> and the </w:t>
      </w:r>
      <w:r w:rsidRPr="00DE3619">
        <w:rPr>
          <w:rFonts w:cstheme="minorHAnsi"/>
          <w:color w:val="0070C0"/>
        </w:rPr>
        <w:t>[</w:t>
      </w:r>
      <w:r>
        <w:rPr>
          <w:rFonts w:cstheme="minorHAnsi"/>
          <w:color w:val="0070C0"/>
        </w:rPr>
        <w:t>ORGANISATION NAME</w:t>
      </w:r>
      <w:r w:rsidRPr="00DE3619">
        <w:rPr>
          <w:rFonts w:cstheme="minorHAnsi"/>
          <w:color w:val="0070C0"/>
        </w:rPr>
        <w:t>]</w:t>
      </w:r>
      <w:r>
        <w:rPr>
          <w:rFonts w:cstheme="minorHAnsi"/>
          <w:color w:val="0070C0"/>
        </w:rPr>
        <w:t>’s</w:t>
      </w:r>
      <w:r w:rsidRPr="00AF6D9F">
        <w:rPr>
          <w:rFonts w:cstheme="minorHAnsi"/>
        </w:rPr>
        <w:t xml:space="preserve"> governing document</w:t>
      </w:r>
      <w:r>
        <w:rPr>
          <w:rFonts w:cstheme="minorHAnsi"/>
        </w:rPr>
        <w:t>,</w:t>
      </w:r>
    </w:p>
    <w:p w14:paraId="386E2C03" w14:textId="77777777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AF6D9F">
        <w:rPr>
          <w:rFonts w:cstheme="minorHAnsi"/>
        </w:rPr>
        <w:t>he letter of appointment for new board members and</w:t>
      </w:r>
    </w:p>
    <w:p w14:paraId="759B5032" w14:textId="77777777" w:rsidR="007753F3" w:rsidRPr="00AF6D9F" w:rsidRDefault="007753F3" w:rsidP="007753F3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AF6D9F">
        <w:rPr>
          <w:rFonts w:cstheme="minorHAnsi"/>
        </w:rPr>
        <w:t>ther board specific policies.</w:t>
      </w:r>
    </w:p>
    <w:p w14:paraId="62607796" w14:textId="77777777" w:rsidR="007753F3" w:rsidRPr="00AF6D9F" w:rsidRDefault="007753F3" w:rsidP="007753F3">
      <w:pPr>
        <w:pStyle w:val="Default"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>confirm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AF6D9F">
        <w:rPr>
          <w:rFonts w:asciiTheme="minorHAnsi" w:hAnsiTheme="minorHAnsi" w:cstheme="minorHAnsi"/>
          <w:color w:val="auto"/>
          <w:sz w:val="22"/>
          <w:szCs w:val="22"/>
        </w:rPr>
        <w:t xml:space="preserve">there is a copy of the schedule of matters reserved to </w:t>
      </w:r>
      <w:r>
        <w:rPr>
          <w:rFonts w:asciiTheme="minorHAnsi" w:hAnsiTheme="minorHAnsi" w:cstheme="minorHAnsi"/>
          <w:color w:val="auto"/>
          <w:sz w:val="22"/>
          <w:szCs w:val="22"/>
        </w:rPr>
        <w:t>the B</w:t>
      </w:r>
      <w:r w:rsidRPr="00AF6D9F">
        <w:rPr>
          <w:rFonts w:asciiTheme="minorHAnsi" w:hAnsiTheme="minorHAnsi" w:cstheme="minorHAnsi"/>
          <w:color w:val="auto"/>
          <w:sz w:val="22"/>
          <w:szCs w:val="22"/>
        </w:rPr>
        <w:t>oard, and a written statement of the division of responsibilities between the Board and CEO including the CEO’s delegated authorities.</w:t>
      </w:r>
    </w:p>
    <w:p w14:paraId="29D8A536" w14:textId="77777777" w:rsidR="007753F3" w:rsidRDefault="007753F3" w:rsidP="007753F3">
      <w:pPr>
        <w:pStyle w:val="Default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7746DBC9" w14:textId="77777777" w:rsidR="007753F3" w:rsidRPr="00E03C0E" w:rsidRDefault="007753F3" w:rsidP="007753F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03C0E">
        <w:rPr>
          <w:rFonts w:asciiTheme="minorHAnsi" w:hAnsiTheme="minorHAnsi" w:cstheme="minorHAnsi"/>
          <w:bCs/>
          <w:color w:val="auto"/>
          <w:sz w:val="22"/>
          <w:szCs w:val="22"/>
        </w:rPr>
        <w:t>The Board confirms that it has completed a review of its effectiveness this year as required by paragraph 4.3(a) of the Governance Code for Sport.</w:t>
      </w: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Behaving with Integrity</w:t>
      </w:r>
    </w:p>
    <w:p w14:paraId="302E4C46" w14:textId="77777777" w:rsidR="007753F3" w:rsidRPr="00AF6D9F" w:rsidRDefault="007753F3" w:rsidP="007753F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 for board members has been put in place that outlines the expected standards of behaviour and which includes clear guidelines on the receipt of gifts and hospitality.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AF6D9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7B30E6AD" w14:textId="77777777" w:rsidR="007753F3" w:rsidRDefault="007753F3" w:rsidP="007753F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AF6D9F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0192" wp14:editId="1B29EF90">
                <wp:simplePos x="0" y="0"/>
                <wp:positionH relativeFrom="column">
                  <wp:posOffset>1856558</wp:posOffset>
                </wp:positionH>
                <wp:positionV relativeFrom="paragraph">
                  <wp:posOffset>372244</wp:posOffset>
                </wp:positionV>
                <wp:extent cx="2103828" cy="5787390"/>
                <wp:effectExtent l="6033" t="0" r="16827" b="16828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3828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1B24" id="Rectangle 6" o:spid="_x0000_s1026" style="position:absolute;margin-left:146.2pt;margin-top:29.3pt;width:165.65pt;height:455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" filled="f" strokecolor="black [3213]" strokeweight="1pt"/>
            </w:pict>
          </mc:Fallback>
        </mc:AlternateContent>
      </w:r>
      <w:r>
        <w:rPr>
          <w:rFonts w:cstheme="minorHAnsi"/>
          <w:bCs/>
        </w:rPr>
        <w:t xml:space="preserve">The Board </w:t>
      </w:r>
      <w:r w:rsidRPr="00AF6D9F">
        <w:rPr>
          <w:rFonts w:cstheme="minorHAnsi"/>
          <w:bCs/>
        </w:rPr>
        <w:t>confirm</w:t>
      </w:r>
      <w:r>
        <w:rPr>
          <w:rFonts w:cstheme="minorHAnsi"/>
          <w:bCs/>
        </w:rPr>
        <w:t>s</w:t>
      </w:r>
      <w:r w:rsidRPr="00AF6D9F">
        <w:rPr>
          <w:rFonts w:cstheme="minorHAnsi"/>
          <w:bCs/>
        </w:rPr>
        <w:t xml:space="preserve"> that </w:t>
      </w:r>
      <w:r>
        <w:rPr>
          <w:rFonts w:cstheme="minorHAnsi"/>
          <w:bCs/>
        </w:rPr>
        <w:t>it</w:t>
      </w:r>
      <w:r w:rsidRPr="00AF6D9F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1E0E8578" w14:textId="77777777" w:rsidR="007753F3" w:rsidRPr="00E03C0E" w:rsidRDefault="007753F3" w:rsidP="007753F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E03C0E">
        <w:rPr>
          <w:rFonts w:cstheme="minorHAnsi"/>
          <w:bCs/>
        </w:rPr>
        <w:t xml:space="preserve">The Board confirms that it has a formal policy on board and sub-committee confidentiality and Board members respect this confidentiality.  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7777777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07535EA3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Each year the Board must self-assess its practices against those recommended in this Code to ensure that it is still compliant. The Board of </w:t>
      </w:r>
      <w:r w:rsidRPr="00FA732B">
        <w:rPr>
          <w:rFonts w:cstheme="minorHAnsi"/>
          <w:color w:val="0070C0"/>
        </w:rPr>
        <w:t>[ORGANISATION</w:t>
      </w:r>
      <w:r w:rsidRPr="00A36E3D">
        <w:rPr>
          <w:rFonts w:cstheme="minorHAnsi"/>
          <w:color w:val="000000" w:themeColor="text1"/>
        </w:rPr>
        <w:t xml:space="preserve"> </w:t>
      </w:r>
      <w:r w:rsidRPr="00FA732B">
        <w:rPr>
          <w:rFonts w:cstheme="minorHAnsi"/>
          <w:color w:val="0070C0"/>
        </w:rPr>
        <w:t>NAME]</w:t>
      </w:r>
      <w:r w:rsidRPr="00A36E3D">
        <w:rPr>
          <w:rFonts w:cstheme="minorHAnsi"/>
          <w:bCs/>
          <w:color w:val="000000" w:themeColor="text1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>
        <w:rPr>
          <w:rFonts w:cstheme="minorHAnsi"/>
          <w:bCs/>
        </w:rPr>
        <w:t>it</w:t>
      </w:r>
      <w:r w:rsidRPr="00DD1246">
        <w:rPr>
          <w:rFonts w:cstheme="minorHAnsi"/>
          <w:bCs/>
        </w:rPr>
        <w:t xml:space="preserve"> must</w:t>
      </w:r>
      <w:r>
        <w:rPr>
          <w:rFonts w:cstheme="minorHAnsi"/>
          <w:bCs/>
        </w:rPr>
        <w:t xml:space="preserve"> maintain a C</w:t>
      </w:r>
      <w:r w:rsidRPr="00DD1246">
        <w:rPr>
          <w:rFonts w:cstheme="minorHAnsi"/>
          <w:bCs/>
        </w:rPr>
        <w:t xml:space="preserve">ompliance </w:t>
      </w:r>
      <w:r>
        <w:rPr>
          <w:rFonts w:cstheme="minorHAnsi"/>
          <w:bCs/>
        </w:rPr>
        <w:t>Record F</w:t>
      </w:r>
      <w:r w:rsidRPr="00DD1246">
        <w:rPr>
          <w:rFonts w:cstheme="minorHAnsi"/>
          <w:bCs/>
        </w:rPr>
        <w:t>orm on file that attests and evidences the compliance with the practices of the Code.</w:t>
      </w:r>
    </w:p>
    <w:p w14:paraId="6AA5E35F" w14:textId="77777777" w:rsidR="00DD1246" w:rsidRPr="00DD1246" w:rsidRDefault="00DD1246" w:rsidP="00A36E3D">
      <w:pPr>
        <w:pStyle w:val="ListParagraph"/>
        <w:rPr>
          <w:rFonts w:cstheme="minorHAnsi"/>
          <w:bCs/>
        </w:rPr>
      </w:pPr>
    </w:p>
    <w:p w14:paraId="37D8A82E" w14:textId="5B210334" w:rsidR="00EC6664" w:rsidRPr="00DD1246" w:rsidRDefault="00EC6664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</w:t>
      </w:r>
      <w:r w:rsidR="005C366D" w:rsidRPr="00DD1246">
        <w:rPr>
          <w:rFonts w:cstheme="minorHAnsi"/>
        </w:rPr>
        <w:t xml:space="preserve">of </w:t>
      </w:r>
      <w:r w:rsidR="005C366D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="005C366D" w:rsidRPr="00FA732B">
        <w:rPr>
          <w:rFonts w:cstheme="minorHAnsi"/>
          <w:color w:val="0070C0"/>
        </w:rPr>
        <w:t>]</w:t>
      </w:r>
      <w:r w:rsidR="005C366D" w:rsidRPr="00DD1246">
        <w:rPr>
          <w:rFonts w:cstheme="minorHAnsi"/>
        </w:rPr>
        <w:t xml:space="preserve"> </w:t>
      </w:r>
      <w:r w:rsidRPr="00DD1246">
        <w:rPr>
          <w:rFonts w:cstheme="minorHAnsi"/>
        </w:rPr>
        <w:t>confirms</w:t>
      </w:r>
      <w:r w:rsidR="00E26255" w:rsidRPr="00E247E7">
        <w:rPr>
          <w:rFonts w:cstheme="minorHAnsi"/>
        </w:rPr>
        <w:t xml:space="preserve"> to Sport </w:t>
      </w:r>
      <w:r w:rsidR="00141390" w:rsidRPr="00E247E7">
        <w:rPr>
          <w:rFonts w:cstheme="minorHAnsi"/>
        </w:rPr>
        <w:t>Ireland that</w:t>
      </w:r>
      <w:r w:rsidRPr="00E247E7">
        <w:rPr>
          <w:rFonts w:cstheme="minorHAnsi"/>
        </w:rPr>
        <w:t xml:space="preserve"> the Governance Code for Sport has been adopted and is being complied with.  Any areas not being complied</w:t>
      </w:r>
      <w:r w:rsidR="00557256" w:rsidRPr="00E247E7">
        <w:rPr>
          <w:rFonts w:cstheme="minorHAnsi"/>
        </w:rPr>
        <w:t xml:space="preserve"> with are listed and explained </w:t>
      </w:r>
      <w:r w:rsidR="00DD1246">
        <w:rPr>
          <w:rFonts w:cstheme="minorHAnsi"/>
        </w:rPr>
        <w:t>within the</w:t>
      </w:r>
      <w:r w:rsidR="0088372C">
        <w:rPr>
          <w:rFonts w:cstheme="minorHAnsi"/>
        </w:rPr>
        <w:t xml:space="preserve"> included</w:t>
      </w:r>
      <w:r w:rsidR="00DD1246">
        <w:rPr>
          <w:rFonts w:cstheme="minorHAnsi"/>
        </w:rPr>
        <w:t xml:space="preserve"> </w:t>
      </w:r>
      <w:r w:rsidR="00DD1246" w:rsidRPr="00FA732B">
        <w:rPr>
          <w:rFonts w:cstheme="minorHAnsi"/>
          <w:color w:val="0070C0"/>
        </w:rPr>
        <w:t>[ORGANISATION NAME]’s</w:t>
      </w:r>
      <w:r w:rsidR="00DD1246">
        <w:rPr>
          <w:rFonts w:cstheme="minorHAnsi"/>
        </w:rPr>
        <w:t xml:space="preserve"> Comply or Explain Form, last updated at a Board meeting on </w:t>
      </w:r>
      <w:r w:rsidR="00DD1246" w:rsidRPr="00FA732B">
        <w:rPr>
          <w:rFonts w:cstheme="minorHAnsi"/>
          <w:color w:val="0070C0"/>
        </w:rPr>
        <w:t>[INSERT DATE]</w:t>
      </w:r>
      <w:r w:rsidR="00557256" w:rsidRPr="00FA732B">
        <w:rPr>
          <w:rFonts w:cstheme="minorHAnsi"/>
          <w:color w:val="0070C0"/>
        </w:rPr>
        <w:t>.</w:t>
      </w:r>
    </w:p>
    <w:p w14:paraId="073035C5" w14:textId="77777777" w:rsidR="00557256" w:rsidRPr="00B13158" w:rsidRDefault="00557256" w:rsidP="005C366D">
      <w:pPr>
        <w:spacing w:after="0"/>
        <w:jc w:val="both"/>
        <w:rPr>
          <w:rFonts w:cstheme="minorHAnsi"/>
          <w:bCs/>
        </w:rPr>
      </w:pPr>
    </w:p>
    <w:p w14:paraId="36013CAE" w14:textId="77777777" w:rsidR="00E26255" w:rsidRPr="00B13158" w:rsidRDefault="00E26255" w:rsidP="005C366D">
      <w:pPr>
        <w:spacing w:after="0"/>
        <w:jc w:val="both"/>
        <w:rPr>
          <w:rFonts w:cstheme="minorHAnsi"/>
          <w:bCs/>
        </w:rPr>
      </w:pP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0DC72E3F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0E6B2F58" w14:textId="38708BD1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responses given above were agreed by the Board of </w:t>
      </w:r>
      <w:r w:rsidR="00FA732B" w:rsidRPr="00FA732B">
        <w:rPr>
          <w:rFonts w:cstheme="minorHAnsi"/>
          <w:color w:val="0070C0"/>
        </w:rPr>
        <w:t>[ORGANISATION</w:t>
      </w:r>
      <w:r w:rsidR="00FA732B" w:rsidRPr="00DD1246">
        <w:rPr>
          <w:rFonts w:cstheme="minorHAnsi"/>
        </w:rPr>
        <w:t xml:space="preserve"> </w:t>
      </w:r>
      <w:r w:rsidR="00FA732B" w:rsidRPr="00FA732B">
        <w:rPr>
          <w:rFonts w:cstheme="minorHAnsi"/>
          <w:color w:val="0070C0"/>
        </w:rPr>
        <w:t>NAME]</w:t>
      </w:r>
      <w:r w:rsidRPr="00DD1246">
        <w:rPr>
          <w:rFonts w:cstheme="minorHAnsi"/>
        </w:rPr>
        <w:t xml:space="preserve"> at a Board meeting on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INSERT DATE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>.</w:t>
      </w:r>
      <w:r w:rsidR="00E67253" w:rsidRPr="00E247E7">
        <w:rPr>
          <w:rFonts w:cstheme="minorHAnsi"/>
        </w:rPr>
        <w:t xml:space="preserve">  </w:t>
      </w:r>
      <w:r w:rsidRPr="00E247E7">
        <w:rPr>
          <w:rFonts w:cstheme="minorHAnsi"/>
        </w:rPr>
        <w:t xml:space="preserve">Any areas of contention are detailed </w:t>
      </w:r>
      <w:r w:rsidR="00DD1246">
        <w:rPr>
          <w:rFonts w:cstheme="minorHAnsi"/>
        </w:rPr>
        <w:t>within Part B</w:t>
      </w:r>
      <w:r w:rsidRPr="00DD1246">
        <w:rPr>
          <w:rFonts w:cstheme="minorHAnsi"/>
        </w:rPr>
        <w:t xml:space="preserve"> (Exception Report) above</w:t>
      </w:r>
      <w:r w:rsidR="00DD1246">
        <w:rPr>
          <w:rFonts w:cstheme="minorHAnsi"/>
        </w:rPr>
        <w:t xml:space="preserve"> and/or Part C (</w:t>
      </w:r>
      <w:r w:rsidR="0088372C">
        <w:rPr>
          <w:rFonts w:cstheme="minorHAnsi"/>
        </w:rPr>
        <w:t xml:space="preserve">attached </w:t>
      </w:r>
      <w:r w:rsidR="00DD1246">
        <w:rPr>
          <w:rFonts w:cstheme="minorHAnsi"/>
        </w:rPr>
        <w:t>Comply or Explain Form)</w:t>
      </w:r>
      <w:r w:rsidRPr="00DD1246">
        <w:rPr>
          <w:rFonts w:cstheme="minorHAnsi"/>
        </w:rPr>
        <w:t>.</w:t>
      </w:r>
    </w:p>
    <w:p w14:paraId="4103F5B2" w14:textId="77777777" w:rsidR="00DE3619" w:rsidRPr="00B13158" w:rsidRDefault="00DE3619" w:rsidP="004E1F76">
      <w:pPr>
        <w:spacing w:after="0"/>
        <w:jc w:val="both"/>
        <w:rPr>
          <w:rFonts w:cstheme="minorHAnsi"/>
        </w:rPr>
      </w:pPr>
    </w:p>
    <w:p w14:paraId="4FF58661" w14:textId="77777777" w:rsidR="004E1F76" w:rsidRPr="00B13158" w:rsidRDefault="004E1F76" w:rsidP="004E1F76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19"/>
      </w:tblGrid>
      <w:tr w:rsidR="00B13158" w:rsidRPr="00B13158" w14:paraId="74B3D186" w14:textId="77777777" w:rsidTr="00775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7753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71565708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DC10" w14:textId="2239CE46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 xml:space="preserve">Template – Assurance Statement Type </w:t>
    </w:r>
    <w:r w:rsidR="00BB5EFC">
      <w:rPr>
        <w:color w:val="FF000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F0E09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0D03"/>
    <w:multiLevelType w:val="hybridMultilevel"/>
    <w:tmpl w:val="DBE8F9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06"/>
    <w:rsid w:val="00017A2D"/>
    <w:rsid w:val="00141390"/>
    <w:rsid w:val="001C6683"/>
    <w:rsid w:val="00254E11"/>
    <w:rsid w:val="002B58B5"/>
    <w:rsid w:val="00397858"/>
    <w:rsid w:val="003A093A"/>
    <w:rsid w:val="004A05B8"/>
    <w:rsid w:val="004E1F76"/>
    <w:rsid w:val="00540F97"/>
    <w:rsid w:val="00557256"/>
    <w:rsid w:val="005C366D"/>
    <w:rsid w:val="006305D6"/>
    <w:rsid w:val="00641722"/>
    <w:rsid w:val="006536E0"/>
    <w:rsid w:val="006D1406"/>
    <w:rsid w:val="00765676"/>
    <w:rsid w:val="007753F3"/>
    <w:rsid w:val="0078373C"/>
    <w:rsid w:val="007D10DF"/>
    <w:rsid w:val="0088372C"/>
    <w:rsid w:val="00894CB6"/>
    <w:rsid w:val="008C4C37"/>
    <w:rsid w:val="008F7B6F"/>
    <w:rsid w:val="00971209"/>
    <w:rsid w:val="009B3DBB"/>
    <w:rsid w:val="009E3A4A"/>
    <w:rsid w:val="00A17FF2"/>
    <w:rsid w:val="00A36E3D"/>
    <w:rsid w:val="00A9221D"/>
    <w:rsid w:val="00AA6562"/>
    <w:rsid w:val="00AF6D9F"/>
    <w:rsid w:val="00B13158"/>
    <w:rsid w:val="00BB5EFC"/>
    <w:rsid w:val="00C45B51"/>
    <w:rsid w:val="00C65AE7"/>
    <w:rsid w:val="00D75432"/>
    <w:rsid w:val="00DD1246"/>
    <w:rsid w:val="00DE3619"/>
    <w:rsid w:val="00E03C0E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36403-A04C-43E6-B510-D3EBFF7DC7E2}">
  <ds:schemaRefs>
    <ds:schemaRef ds:uri="http://purl.org/dc/terms/"/>
    <ds:schemaRef ds:uri="e7bcee90-b6b1-4b5e-87d6-83e2ef91d118"/>
    <ds:schemaRef ds:uri="a143e649-5e01-413f-9b03-46e831e711e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F78D39-990F-4C2D-8C0F-62066316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Sinead Gordon</cp:lastModifiedBy>
  <cp:revision>6</cp:revision>
  <cp:lastPrinted>2022-03-16T12:56:00Z</cp:lastPrinted>
  <dcterms:created xsi:type="dcterms:W3CDTF">2022-03-22T11:37:00Z</dcterms:created>
  <dcterms:modified xsi:type="dcterms:W3CDTF">2022-04-07T11:57:00Z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